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-474</wp:posOffset>
                </wp:positionV>
                <wp:extent cx="1022985" cy="835660"/>
                <wp:effectExtent l="0" t="0" r="571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77923" cy="703441"/>
                                      <wp:effectExtent l="0" t="0" r="3175" b="190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345" cy="704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81.4pt;mso-position-horizontal:absolute;mso-position-vertical-relative:text;margin-top:-0.0pt;mso-position-vertical:absolute;width:80.5pt;height:65.8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77923" cy="703441"/>
                                <wp:effectExtent l="0" t="0" r="3175" b="190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345" cy="704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-184480</wp:posOffset>
                </wp:positionH>
                <wp:positionV relativeFrom="paragraph">
                  <wp:posOffset>13970</wp:posOffset>
                </wp:positionV>
                <wp:extent cx="6113780" cy="5016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14.5pt;mso-position-horizontal:absolute;mso-position-vertical-relative:text;margin-top:1.1pt;mso-position-vertical:absolute;width:481.4pt;height:39.5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301965</wp:posOffset>
                </wp:positionH>
                <wp:positionV relativeFrom="paragraph">
                  <wp:posOffset>36703</wp:posOffset>
                </wp:positionV>
                <wp:extent cx="5483774" cy="2948366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483773" cy="2948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ении заседания Апелляционной комиссии </w:t>
                              <w:br/>
                              <w:t xml:space="preserve">Ханты-Мансийского автономного округа – Югры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в форме основного государственного экзамена в компьютерной форме по учеб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ному предмету «информатика»,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</w:t>
                            </w:r>
                            <w:r/>
                            <w:r>
                              <w:rPr>
                                <w:sz w:val="28"/>
                                <w:szCs w:val="28"/>
                              </w:rPr>
                              <w:t xml:space="preserve"> в основной день 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2024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23.8pt;mso-position-horizontal:absolute;mso-position-vertical-relative:text;margin-top:2.9pt;mso-position-vertical:absolute;width:431.8pt;height:232.2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</w:t>
                      </w:r>
                      <w:r>
                        <w:rPr>
                          <w:sz w:val="28"/>
                          <w:szCs w:val="28"/>
                        </w:rPr>
                        <w:t xml:space="preserve">ении заседания Апелляционной комиссии </w:t>
                        <w:br/>
                        <w:t xml:space="preserve">Ханты-Мансийского автономного округа – Югры  </w:t>
                      </w:r>
                      <w:r>
                        <w:rPr>
                          <w:sz w:val="28"/>
                          <w:szCs w:val="28"/>
                        </w:rPr>
                        <w:t xml:space="preserve">по рассмотрению апелляций участников государственной итоговой аттестации по образовательным программам основного общего образования в форме основного государственного экзамена в компьютерной форме по учеб</w:t>
                      </w:r>
                      <w:r>
                        <w:rPr>
                          <w:sz w:val="28"/>
                          <w:szCs w:val="28"/>
                        </w:rPr>
                        <w:t xml:space="preserve">ному предмету «информатика», </w:t>
                      </w:r>
                      <w:r>
                        <w:rPr>
                          <w:sz w:val="28"/>
                          <w:szCs w:val="28"/>
                        </w:rPr>
                        <w:t xml:space="preserve">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</w:t>
                      </w:r>
                      <w:r/>
                      <w:r>
                        <w:rPr>
                          <w:sz w:val="28"/>
                          <w:szCs w:val="28"/>
                        </w:rPr>
                        <w:t xml:space="preserve"> в основной день 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2024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18.06.2024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№ 10-П-1197</w:t>
      </w:r>
      <w:r/>
    </w:p>
    <w:p>
      <w:pPr>
        <w:jc w:val="both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</w:rPr>
      </w:r>
      <w:r/>
    </w:p>
    <w:p>
      <w:pPr>
        <w:ind w:right="350"/>
        <w:jc w:val="both"/>
        <w:spacing w:line="276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 основании приказа Департамента образования и науки  </w:t>
        <w:br/>
        <w:t xml:space="preserve">Ханты-Мансийского автономного округа – Югры от 18 июня</w:t>
      </w:r>
      <w:r>
        <w:rPr>
          <w:sz w:val="28"/>
          <w:szCs w:val="28"/>
          <w:highlight w:val="none"/>
        </w:rPr>
        <w:t xml:space="preserve"> 2024 года </w:t>
        <w:br/>
        <w:t xml:space="preserve">№ 10-П-1196</w:t>
      </w:r>
      <w:r>
        <w:rPr>
          <w:sz w:val="28"/>
          <w:szCs w:val="28"/>
          <w:highlight w:val="none"/>
        </w:rPr>
        <w:t xml:space="preserve"> «</w:t>
      </w:r>
      <w:r/>
      <w:r>
        <w:rPr>
          <w:sz w:val="28"/>
          <w:szCs w:val="28"/>
        </w:rPr>
        <w:t xml:space="preserve">Об утверждении протокол</w:t>
      </w:r>
      <w:r>
        <w:rPr>
          <w:sz w:val="28"/>
          <w:szCs w:val="28"/>
        </w:rPr>
        <w:t xml:space="preserve">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 в компьютерной форме по учебному предмету</w:t>
      </w:r>
      <w:r>
        <w:rPr>
          <w:sz w:val="28"/>
          <w:szCs w:val="28"/>
        </w:rPr>
        <w:t xml:space="preserve"> «информатика»</w:t>
      </w:r>
      <w:r>
        <w:rPr>
          <w:sz w:val="28"/>
          <w:szCs w:val="28"/>
        </w:rPr>
        <w:t xml:space="preserve">, 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 в основной день основного периода </w:t>
      </w:r>
      <w:r>
        <w:rPr>
          <w:sz w:val="28"/>
          <w:szCs w:val="28"/>
        </w:rPr>
        <w:t xml:space="preserve">в 2024 году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t xml:space="preserve">  </w:t>
      </w:r>
      <w:r>
        <w:rPr>
          <w:sz w:val="28"/>
          <w:szCs w:val="28"/>
        </w:rPr>
        <w:t xml:space="preserve">руководствуясь приказом Департамента образования и науки Ханты-Мансийского автономного округа – Югры от 22 марта 2024 года </w:t>
      </w:r>
      <w:r>
        <w:rPr>
          <w:sz w:val="28"/>
          <w:szCs w:val="28"/>
        </w:rPr>
        <w:t xml:space="preserve">№ 10-П-553 «Об организации и обеспечении деятельности Апелляционной комиссии Ханты-Мансийского</w:t>
      </w:r>
      <w:r>
        <w:rPr>
          <w:sz w:val="28"/>
          <w:szCs w:val="28"/>
        </w:rPr>
        <w:t xml:space="preserve"> автономного округа – Югры в 2024 году», в целях об</w:t>
      </w:r>
      <w:r>
        <w:rPr>
          <w:sz w:val="28"/>
          <w:szCs w:val="28"/>
        </w:rPr>
        <w:t xml:space="preserve">еспечен</w:t>
      </w:r>
      <w:r>
        <w:rPr>
          <w:sz w:val="28"/>
          <w:szCs w:val="28"/>
        </w:rPr>
        <w:t xml:space="preserve">ия соблюдения единых требований и разрешения спорных вопросов при оценке экзаменационных работ, защиты прав участников основного государственного экзамена в компьютерной форме по учебному предмету «информатика», </w:t>
      </w:r>
      <w:r>
        <w:rPr>
          <w:sz w:val="28"/>
          <w:szCs w:val="28"/>
        </w:rPr>
        <w:t xml:space="preserve">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</w:t>
      </w:r>
      <w:r/>
      <w:r>
        <w:rPr>
          <w:sz w:val="28"/>
          <w:szCs w:val="28"/>
        </w:rPr>
        <w:t xml:space="preserve"> в основной день основного периода в 2024 году</w:t>
      </w:r>
      <w:r>
        <w:t xml:space="preserve">,</w:t>
      </w:r>
      <w:r/>
      <w:r/>
      <w:r>
        <w:rPr>
          <w:sz w:val="28"/>
          <w:szCs w:val="28"/>
        </w:rPr>
      </w:r>
    </w:p>
    <w:p>
      <w:pPr>
        <w:ind w:firstLine="0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76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1. Провести заседание Апелляционной комисс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ии </w:t>
        <w:br/>
        <w:t xml:space="preserve">Ханты-Мансийского автономного округа – Югры (далее – Апелляционная комиссия) по рассмотрению апелляций участников государственной итоговой аттестации по образовательным программам основного общего образования в компьютерной форме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по учебному предмету «информатика»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  <w:t xml:space="preserve">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основной день основного периода в 2024 году, с 10.00 часов 24 июня 2024 года, согласно графику, сформированному секретарем Апелляционной комиссии.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 Утвердить места приема апелляций: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2.1. Образовательные организации (по месту завершения освоения основных образовательных программ основного общего образования).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2.2. О</w:t>
      </w:r>
      <w:r>
        <w:rPr>
          <w:sz w:val="28"/>
          <w:szCs w:val="28"/>
        </w:rPr>
        <w:t xml:space="preserve">рганы местного самоуправления муниципальных образований Ханты-Мансийского автономного округа – Югры, осуществляющие управление в сфере образования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(по месту проживания (пребывания) участников КОГЭ, ОГЭ, ГВЭ).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3. Определить место работы Апелляционной комиссии </w:t>
        <w:br/>
        <w:t xml:space="preserve">г. Ханты-Мансийск, ул. Чехова, д. 12 в автономном учреждении дополнительного профессионального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образования Ханты-Мансийского автономного округа – Югры «Институт развития образования» с использованием пунктов рассмотрения апелляций, организованных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</w:rPr>
        <w:t xml:space="preserve">рганах местного самоуправления муниципальных образований </w:t>
        <w:br/>
        <w:t xml:space="preserve">Ханты-Мансийского автономного округа – Югры, осуществляющих управление в сфере образования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(по месту проживания (пребывания) участников КОГЭ, ОГЭ, ГВЭ)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4. Автономному учреждению дополнительного профессионального образования Ханты-Мансийского автоно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много округа – Югры «Институт развития образования» – организации, уполномоченной осуществлять функции Регионального центра обработки информации, обеспечить деятельность Апелляционной комиссии, включая информационное обеспечение и ведение делопроизводства.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5. Административно-ресурсному отделу Административного управления Департамента образования и науки Ханты-Мансийского автономного округа – Югры обеспечить рассылку настоящего приказа.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Контроль исполнения настоящего приказа возложить на заместителя директора Департамента образования и науки  Ханты-Мансийского автономного округа – Югры И.В. Святченко.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tbl>
      <w:tblPr>
        <w:tblW w:w="92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930"/>
        <w:gridCol w:w="2067"/>
      </w:tblGrid>
      <w:tr>
        <w:trPr>
          <w:trHeight w:val="2122"/>
        </w:trPr>
        <w:tc>
          <w:tcPr>
            <w:shd w:val="clear" w:color="ffffff" w:fill="ffffff"/>
            <w:tcW w:w="325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3113" w:leader="none"/>
              </w:tabs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Департамента</w:t>
            </w:r>
            <w:r/>
          </w:p>
        </w:tc>
        <w:tc>
          <w:tcPr>
            <w:shd w:val="clear" w:color="ffffff" w:fill="ffffff"/>
            <w:tcW w:w="393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6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548392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/>
  </w:p>
  <w:p>
    <w:pPr>
      <w:pStyle w:val="9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0"/>
    <w:link w:val="884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0"/>
    <w:link w:val="885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90"/>
    <w:link w:val="886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90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90"/>
    <w:link w:val="888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3"/>
    <w:next w:val="88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0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890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3"/>
    <w:next w:val="883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3"/>
    <w:next w:val="883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890"/>
    <w:link w:val="905"/>
    <w:uiPriority w:val="10"/>
    <w:rPr>
      <w:sz w:val="48"/>
      <w:szCs w:val="48"/>
    </w:rPr>
  </w:style>
  <w:style w:type="paragraph" w:styleId="733">
    <w:name w:val="Subtitle"/>
    <w:basedOn w:val="883"/>
    <w:next w:val="88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90"/>
    <w:link w:val="733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90"/>
    <w:link w:val="911"/>
    <w:uiPriority w:val="99"/>
  </w:style>
  <w:style w:type="character" w:styleId="740">
    <w:name w:val="Footer Char"/>
    <w:basedOn w:val="890"/>
    <w:link w:val="912"/>
    <w:uiPriority w:val="99"/>
  </w:style>
  <w:style w:type="paragraph" w:styleId="741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12"/>
    <w:uiPriority w:val="99"/>
  </w:style>
  <w:style w:type="table" w:styleId="743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Footnote Text Char"/>
    <w:link w:val="946"/>
    <w:uiPriority w:val="99"/>
    <w:rPr>
      <w:sz w:val="18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90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rPr>
      <w:rFonts w:ascii="Times New Roman" w:hAnsi="Times New Roman" w:eastAsia="Times New Roman"/>
    </w:rPr>
  </w:style>
  <w:style w:type="paragraph" w:styleId="884">
    <w:name w:val="Heading 1"/>
    <w:basedOn w:val="883"/>
    <w:next w:val="883"/>
    <w:link w:val="928"/>
    <w:qFormat/>
    <w:pPr>
      <w:keepNext/>
      <w:outlineLvl w:val="0"/>
    </w:pPr>
    <w:rPr>
      <w:sz w:val="28"/>
      <w:szCs w:val="24"/>
    </w:rPr>
  </w:style>
  <w:style w:type="paragraph" w:styleId="885">
    <w:name w:val="Heading 2"/>
    <w:basedOn w:val="883"/>
    <w:next w:val="883"/>
    <w:link w:val="923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6">
    <w:name w:val="Heading 3"/>
    <w:basedOn w:val="883"/>
    <w:next w:val="883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7">
    <w:name w:val="Heading 4"/>
    <w:basedOn w:val="883"/>
    <w:next w:val="883"/>
    <w:qFormat/>
    <w:pPr>
      <w:keepNext/>
      <w:outlineLvl w:val="3"/>
    </w:pPr>
    <w:rPr>
      <w:b/>
      <w:bCs/>
      <w:sz w:val="28"/>
      <w:szCs w:val="24"/>
    </w:rPr>
  </w:style>
  <w:style w:type="paragraph" w:styleId="888">
    <w:name w:val="Heading 5"/>
    <w:basedOn w:val="883"/>
    <w:next w:val="883"/>
    <w:qFormat/>
    <w:pPr>
      <w:jc w:val="center"/>
      <w:keepNext/>
      <w:outlineLvl w:val="4"/>
    </w:pPr>
    <w:rPr>
      <w:i/>
      <w:sz w:val="24"/>
      <w:szCs w:val="24"/>
    </w:rPr>
  </w:style>
  <w:style w:type="paragraph" w:styleId="889">
    <w:name w:val="Heading 7"/>
    <w:basedOn w:val="883"/>
    <w:next w:val="883"/>
    <w:qFormat/>
    <w:pPr>
      <w:spacing w:before="240" w:after="60"/>
      <w:outlineLvl w:val="6"/>
    </w:pPr>
    <w:rPr>
      <w:sz w:val="24"/>
      <w:szCs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Balloon Text"/>
    <w:basedOn w:val="883"/>
    <w:link w:val="894"/>
    <w:uiPriority w:val="99"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uiPriority w:val="99"/>
    <w:rPr>
      <w:rFonts w:ascii="Tahoma" w:hAnsi="Tahoma" w:cs="Tahoma"/>
      <w:sz w:val="16"/>
      <w:szCs w:val="16"/>
    </w:rPr>
  </w:style>
  <w:style w:type="paragraph" w:styleId="895">
    <w:name w:val="E-mail Signature"/>
    <w:basedOn w:val="883"/>
    <w:link w:val="896"/>
    <w:uiPriority w:val="99"/>
    <w:semiHidden/>
    <w:unhideWhenUsed/>
    <w:rPr>
      <w:rFonts w:ascii="Calibri" w:hAnsi="Calibri"/>
      <w:sz w:val="22"/>
      <w:szCs w:val="22"/>
    </w:rPr>
  </w:style>
  <w:style w:type="character" w:styleId="896" w:customStyle="1">
    <w:name w:val="Электронная подпись Знак"/>
    <w:link w:val="895"/>
    <w:uiPriority w:val="99"/>
    <w:semiHidden/>
    <w:rPr>
      <w:rFonts w:ascii="Calibri" w:hAnsi="Calibri" w:eastAsia="Times New Roman" w:cs="Times New Roman"/>
      <w:lang w:eastAsia="ru-RU"/>
    </w:rPr>
  </w:style>
  <w:style w:type="paragraph" w:styleId="897" w:customStyle="1">
    <w:name w:val="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898">
    <w:name w:val="Table Grid"/>
    <w:basedOn w:val="8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 Indent"/>
    <w:basedOn w:val="883"/>
    <w:link w:val="938"/>
    <w:pPr>
      <w:ind w:left="283"/>
      <w:spacing w:after="120"/>
    </w:pPr>
    <w:rPr>
      <w:sz w:val="24"/>
      <w:szCs w:val="24"/>
    </w:rPr>
  </w:style>
  <w:style w:type="paragraph" w:styleId="90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1">
    <w:name w:val="List Paragraph"/>
    <w:basedOn w:val="883"/>
    <w:link w:val="93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02">
    <w:name w:val="Body Text"/>
    <w:basedOn w:val="883"/>
    <w:link w:val="929"/>
    <w:pPr>
      <w:spacing w:after="120"/>
    </w:p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rPr>
      <w:color w:val="800080"/>
      <w:u w:val="single"/>
    </w:rPr>
  </w:style>
  <w:style w:type="paragraph" w:styleId="905">
    <w:name w:val="Title"/>
    <w:basedOn w:val="883"/>
    <w:link w:val="937"/>
    <w:qFormat/>
    <w:pPr>
      <w:jc w:val="center"/>
    </w:pPr>
    <w:rPr>
      <w:b/>
      <w:sz w:val="24"/>
      <w:szCs w:val="24"/>
    </w:rPr>
  </w:style>
  <w:style w:type="paragraph" w:styleId="906">
    <w:name w:val="Body Text Indent 2"/>
    <w:basedOn w:val="883"/>
    <w:pPr>
      <w:ind w:left="708"/>
      <w:jc w:val="both"/>
    </w:pPr>
    <w:rPr>
      <w:sz w:val="28"/>
      <w:szCs w:val="24"/>
    </w:rPr>
  </w:style>
  <w:style w:type="paragraph" w:styleId="907">
    <w:name w:val="Body Text Indent 3"/>
    <w:basedOn w:val="883"/>
    <w:link w:val="939"/>
    <w:pPr>
      <w:ind w:left="708" w:firstLine="709"/>
      <w:jc w:val="both"/>
    </w:pPr>
    <w:rPr>
      <w:sz w:val="28"/>
      <w:szCs w:val="24"/>
    </w:rPr>
  </w:style>
  <w:style w:type="paragraph" w:styleId="908">
    <w:name w:val="Body Text 2"/>
    <w:basedOn w:val="883"/>
    <w:link w:val="954"/>
    <w:pPr>
      <w:jc w:val="center"/>
    </w:pPr>
    <w:rPr>
      <w:bCs/>
      <w:sz w:val="28"/>
      <w:szCs w:val="24"/>
    </w:rPr>
  </w:style>
  <w:style w:type="character" w:styleId="909" w:customStyle="1">
    <w:name w:val="Заголовок 7 Знак"/>
    <w:rPr>
      <w:sz w:val="24"/>
      <w:szCs w:val="24"/>
    </w:rPr>
  </w:style>
  <w:style w:type="paragraph" w:styleId="910">
    <w:name w:val="Body Text 3"/>
    <w:basedOn w:val="883"/>
    <w:rPr>
      <w:sz w:val="24"/>
    </w:rPr>
  </w:style>
  <w:style w:type="paragraph" w:styleId="911">
    <w:name w:val="Header"/>
    <w:basedOn w:val="883"/>
    <w:link w:val="93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2">
    <w:name w:val="Footer"/>
    <w:basedOn w:val="883"/>
    <w:link w:val="951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13" w:customStyle="1">
    <w:name w:val="Знак1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4" w:customStyle="1">
    <w:name w:val="Знак1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>
    <w:name w:val="Plain Text"/>
    <w:basedOn w:val="883"/>
    <w:link w:val="926"/>
    <w:uiPriority w:val="99"/>
    <w:qFormat/>
    <w:rPr>
      <w:rFonts w:ascii="Courier New" w:hAnsi="Courier New" w:cs="Courier New"/>
    </w:rPr>
  </w:style>
  <w:style w:type="paragraph" w:styleId="917">
    <w:name w:val="Normal (Web)"/>
    <w:basedOn w:val="883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18">
    <w:name w:val="page number"/>
    <w:basedOn w:val="890"/>
  </w:style>
  <w:style w:type="paragraph" w:styleId="919" w:customStyle="1">
    <w:name w:val="Основной текст 21"/>
    <w:basedOn w:val="883"/>
    <w:pPr>
      <w:ind w:firstLine="360"/>
      <w:jc w:val="both"/>
    </w:pPr>
    <w:rPr>
      <w:sz w:val="24"/>
    </w:rPr>
  </w:style>
  <w:style w:type="paragraph" w:styleId="920" w:customStyle="1">
    <w:name w:val="Знак Знак Знак Знак Знак Знак 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1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2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23" w:customStyle="1">
    <w:name w:val="Заголовок 2 Знак"/>
    <w:link w:val="88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24" w:customStyle="1">
    <w:name w:val="zagolovok"/>
    <w:basedOn w:val="890"/>
  </w:style>
  <w:style w:type="paragraph" w:styleId="925" w:customStyle="1">
    <w:name w:val="Char Char Char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26" w:customStyle="1">
    <w:name w:val="Текст Знак"/>
    <w:link w:val="916"/>
    <w:rPr>
      <w:rFonts w:ascii="Courier New" w:hAnsi="Courier New" w:cs="Courier New"/>
      <w:lang w:val="ru-RU" w:eastAsia="ru-RU" w:bidi="ar-SA"/>
    </w:rPr>
  </w:style>
  <w:style w:type="character" w:styleId="927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28" w:customStyle="1">
    <w:name w:val="Заголовок 1 Знак"/>
    <w:link w:val="884"/>
    <w:rPr>
      <w:rFonts w:ascii="Times New Roman" w:hAnsi="Times New Roman" w:eastAsia="Times New Roman"/>
      <w:sz w:val="28"/>
      <w:szCs w:val="24"/>
    </w:rPr>
  </w:style>
  <w:style w:type="character" w:styleId="929" w:customStyle="1">
    <w:name w:val="Основной текст Знак"/>
    <w:link w:val="902"/>
    <w:rPr>
      <w:rFonts w:ascii="Times New Roman" w:hAnsi="Times New Roman" w:eastAsia="Times New Roman"/>
    </w:rPr>
  </w:style>
  <w:style w:type="character" w:styleId="930" w:customStyle="1">
    <w:name w:val="Абзац списка Знак"/>
    <w:link w:val="901"/>
    <w:uiPriority w:val="34"/>
    <w:rPr>
      <w:rFonts w:eastAsia="Times New Roman"/>
      <w:sz w:val="22"/>
      <w:szCs w:val="22"/>
    </w:rPr>
  </w:style>
  <w:style w:type="character" w:styleId="931" w:customStyle="1">
    <w:name w:val="Гипертекстовая ссылка"/>
    <w:uiPriority w:val="99"/>
    <w:rPr>
      <w:b/>
      <w:bCs/>
      <w:color w:val="106bbe"/>
    </w:rPr>
  </w:style>
  <w:style w:type="character" w:styleId="932" w:customStyle="1">
    <w:name w:val="Верхний колонтитул Знак"/>
    <w:basedOn w:val="890"/>
    <w:link w:val="911"/>
    <w:uiPriority w:val="99"/>
    <w:rPr>
      <w:rFonts w:ascii="Times New Roman" w:hAnsi="Times New Roman" w:eastAsia="Times New Roman"/>
      <w:sz w:val="28"/>
      <w:szCs w:val="24"/>
    </w:rPr>
  </w:style>
  <w:style w:type="paragraph" w:styleId="933" w:customStyle="1">
    <w:name w:val="ConsNonformat"/>
    <w:pPr>
      <w:widowControl w:val="off"/>
    </w:pPr>
    <w:rPr>
      <w:rFonts w:ascii="Courier New" w:hAnsi="Courier New" w:eastAsia="Times New Roman" w:cs="Courier New"/>
      <w:lang w:eastAsia="en-US"/>
    </w:rPr>
  </w:style>
  <w:style w:type="paragraph" w:styleId="934" w:customStyle="1">
    <w:name w:val="Знак Знак Знак Знак Знак Знак Знак Знак Знак Знак Знак Знак Знак Знак Знак Знак Знак Знак Знак Знак Знак Знак"/>
    <w:basedOn w:val="88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5" w:customStyle="1">
    <w:name w:val="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36">
    <w:name w:val="No Spacing"/>
    <w:link w:val="952"/>
    <w:uiPriority w:val="1"/>
    <w:qFormat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937" w:customStyle="1">
    <w:name w:val="Название Знак"/>
    <w:link w:val="905"/>
    <w:rPr>
      <w:rFonts w:ascii="Times New Roman" w:hAnsi="Times New Roman" w:eastAsia="Times New Roman"/>
      <w:b/>
      <w:sz w:val="24"/>
      <w:szCs w:val="24"/>
    </w:rPr>
  </w:style>
  <w:style w:type="character" w:styleId="938" w:customStyle="1">
    <w:name w:val="Основной текст с отступом Знак"/>
    <w:link w:val="899"/>
    <w:rPr>
      <w:rFonts w:ascii="Times New Roman" w:hAnsi="Times New Roman" w:eastAsia="Times New Roman"/>
      <w:sz w:val="24"/>
      <w:szCs w:val="24"/>
    </w:rPr>
  </w:style>
  <w:style w:type="character" w:styleId="939" w:customStyle="1">
    <w:name w:val="Основной текст с отступом 3 Знак"/>
    <w:link w:val="907"/>
    <w:rPr>
      <w:rFonts w:ascii="Times New Roman" w:hAnsi="Times New Roman" w:eastAsia="Times New Roman"/>
      <w:sz w:val="28"/>
      <w:szCs w:val="24"/>
    </w:rPr>
  </w:style>
  <w:style w:type="paragraph" w:styleId="940">
    <w:name w:val="Document Map"/>
    <w:basedOn w:val="883"/>
    <w:link w:val="941"/>
    <w:semiHidden/>
    <w:pPr>
      <w:shd w:val="clear" w:color="auto" w:fill="000080"/>
    </w:pPr>
    <w:rPr>
      <w:rFonts w:ascii="Tahoma" w:hAnsi="Tahoma" w:cs="Tahoma"/>
    </w:rPr>
  </w:style>
  <w:style w:type="character" w:styleId="941" w:customStyle="1">
    <w:name w:val="Схема документа Знак"/>
    <w:basedOn w:val="890"/>
    <w:link w:val="940"/>
    <w:semiHidden/>
    <w:rPr>
      <w:rFonts w:ascii="Tahoma" w:hAnsi="Tahoma" w:eastAsia="Times New Roman" w:cs="Tahoma"/>
      <w:shd w:val="clear" w:color="auto" w:fill="000080"/>
    </w:rPr>
  </w:style>
  <w:style w:type="character" w:styleId="942" w:customStyle="1">
    <w:name w:val="Знак Знак6"/>
    <w:rPr>
      <w:sz w:val="24"/>
      <w:szCs w:val="24"/>
    </w:rPr>
  </w:style>
  <w:style w:type="paragraph" w:styleId="943">
    <w:name w:val="annotation text"/>
    <w:basedOn w:val="883"/>
    <w:link w:val="944"/>
  </w:style>
  <w:style w:type="character" w:styleId="944" w:customStyle="1">
    <w:name w:val="Текст примечания Знак"/>
    <w:basedOn w:val="890"/>
    <w:link w:val="943"/>
    <w:rPr>
      <w:rFonts w:ascii="Times New Roman" w:hAnsi="Times New Roman" w:eastAsia="Times New Roman"/>
    </w:rPr>
  </w:style>
  <w:style w:type="paragraph" w:styleId="945" w:customStyle="1">
    <w:name w:val="Знак Знак Знак Знак"/>
    <w:basedOn w:val="883"/>
    <w:pPr>
      <w:spacing w:after="160" w:line="240" w:lineRule="exact"/>
    </w:pPr>
    <w:rPr>
      <w:rFonts w:ascii="Verdana" w:hAnsi="Verdana"/>
      <w:lang w:val="en-US" w:eastAsia="en-US"/>
    </w:rPr>
  </w:style>
  <w:style w:type="paragraph" w:styleId="946">
    <w:name w:val="footnote text"/>
    <w:basedOn w:val="883"/>
    <w:link w:val="947"/>
    <w:uiPriority w:val="99"/>
  </w:style>
  <w:style w:type="character" w:styleId="947" w:customStyle="1">
    <w:name w:val="Текст сноски Знак"/>
    <w:basedOn w:val="890"/>
    <w:link w:val="946"/>
    <w:uiPriority w:val="99"/>
    <w:rPr>
      <w:rFonts w:ascii="Times New Roman" w:hAnsi="Times New Roman" w:eastAsia="Times New Roman"/>
    </w:rPr>
  </w:style>
  <w:style w:type="character" w:styleId="948">
    <w:name w:val="footnote reference"/>
    <w:uiPriority w:val="99"/>
    <w:rPr>
      <w:vertAlign w:val="superscript"/>
    </w:rPr>
  </w:style>
  <w:style w:type="paragraph" w:styleId="949" w:customStyle="1">
    <w:name w:val="Обычный1"/>
    <w:pPr>
      <w:ind w:left="5200" w:right="800"/>
      <w:spacing w:line="300" w:lineRule="auto"/>
    </w:pPr>
    <w:rPr>
      <w:rFonts w:ascii="Times New Roman" w:hAnsi="Times New Roman" w:eastAsia="Times New Roman"/>
      <w:b/>
      <w:sz w:val="24"/>
    </w:rPr>
  </w:style>
  <w:style w:type="character" w:styleId="950" w:customStyle="1">
    <w:name w:val="Font Style13"/>
    <w:rPr>
      <w:rFonts w:hint="default" w:ascii="Times New Roman" w:hAnsi="Times New Roman" w:cs="Times New Roman"/>
      <w:b/>
      <w:bCs/>
      <w:sz w:val="22"/>
      <w:szCs w:val="22"/>
    </w:rPr>
  </w:style>
  <w:style w:type="character" w:styleId="951" w:customStyle="1">
    <w:name w:val="Нижний колонтитул Знак"/>
    <w:link w:val="912"/>
    <w:uiPriority w:val="99"/>
    <w:rPr>
      <w:rFonts w:ascii="Times New Roman" w:hAnsi="Times New Roman" w:eastAsia="Times New Roman"/>
      <w:sz w:val="28"/>
      <w:szCs w:val="24"/>
    </w:rPr>
  </w:style>
  <w:style w:type="character" w:styleId="952" w:customStyle="1">
    <w:name w:val="Без интервала Знак"/>
    <w:link w:val="936"/>
    <w:uiPriority w:val="1"/>
    <w:qFormat/>
    <w:rPr>
      <w:rFonts w:ascii="Times New Roman" w:hAnsi="Times New Roman"/>
      <w:sz w:val="28"/>
      <w:szCs w:val="22"/>
      <w:lang w:eastAsia="en-US"/>
    </w:rPr>
  </w:style>
  <w:style w:type="character" w:styleId="953" w:customStyle="1">
    <w:name w:val="Основной текст + Sylfaen;9;5 pt"/>
    <w:rPr>
      <w:rFonts w:ascii="Sylfaen" w:hAnsi="Sylfaen" w:eastAsia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954" w:customStyle="1">
    <w:name w:val="Основной текст 2 Знак"/>
    <w:basedOn w:val="890"/>
    <w:link w:val="908"/>
    <w:rPr>
      <w:rFonts w:ascii="Times New Roman" w:hAnsi="Times New Roman" w:eastAsia="Times New Roman"/>
      <w:bCs/>
      <w:sz w:val="28"/>
      <w:szCs w:val="24"/>
    </w:rPr>
  </w:style>
  <w:style w:type="character" w:styleId="955" w:customStyle="1">
    <w:name w:val="header-user-name"/>
    <w:basedOn w:val="890"/>
  </w:style>
  <w:style w:type="character" w:styleId="956" w:customStyle="1">
    <w:name w:val="Основной текст (2)_"/>
    <w:link w:val="958"/>
    <w:uiPriority w:val="99"/>
    <w:rPr>
      <w:shd w:val="clear" w:color="auto" w:fill="ffffff"/>
    </w:rPr>
  </w:style>
  <w:style w:type="character" w:styleId="957" w:customStyle="1">
    <w:name w:val="Основной текст (2) + 9;5 pt"/>
    <w:rPr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58" w:customStyle="1">
    <w:name w:val="Основной текст (2)"/>
    <w:basedOn w:val="883"/>
    <w:link w:val="956"/>
    <w:pPr>
      <w:spacing w:before="480"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59" w:customStyle="1">
    <w:name w:val="Без интервала1"/>
    <w:link w:val="960"/>
    <w:pPr>
      <w:widowControl w:val="off"/>
    </w:pPr>
    <w:rPr>
      <w:rFonts w:ascii="Times New Roman" w:hAnsi="Times New Roman" w:eastAsia="Times New Roman"/>
    </w:rPr>
  </w:style>
  <w:style w:type="character" w:styleId="960" w:customStyle="1">
    <w:name w:val="No Spacing Char"/>
    <w:link w:val="959"/>
    <w:rPr>
      <w:rFonts w:ascii="Times New Roman" w:hAnsi="Times New Roman" w:eastAsia="Times New Roman"/>
    </w:rPr>
  </w:style>
  <w:style w:type="table" w:styleId="961" w:customStyle="1">
    <w:name w:val="Сетка таблицы1"/>
    <w:basedOn w:val="891"/>
    <w:next w:val="898"/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 w:customStyle="1">
    <w:name w:val="Основной текст (30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table" w:styleId="963" w:customStyle="1">
    <w:name w:val="Сетка таблицы3"/>
    <w:basedOn w:val="891"/>
    <w:next w:val="8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4" w:customStyle="1">
    <w:name w:val="Основной текст_"/>
    <w:link w:val="965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5" w:customStyle="1">
    <w:name w:val="Основной текст1"/>
    <w:basedOn w:val="883"/>
    <w:link w:val="964"/>
    <w:pPr>
      <w:jc w:val="right"/>
      <w:spacing w:before="300" w:line="317" w:lineRule="exact"/>
      <w:shd w:val="clear" w:color="auto" w:fill="ffffff"/>
      <w:widowControl w:val="off"/>
    </w:pPr>
    <w:rPr>
      <w:sz w:val="26"/>
      <w:szCs w:val="26"/>
    </w:rPr>
  </w:style>
  <w:style w:type="character" w:styleId="966" w:customStyle="1">
    <w:name w:val="Заголовок №1_"/>
    <w:link w:val="967"/>
    <w:uiPriority w:val="99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967" w:customStyle="1">
    <w:name w:val="Заголовок №1"/>
    <w:basedOn w:val="883"/>
    <w:link w:val="966"/>
    <w:uiPriority w:val="99"/>
    <w:pPr>
      <w:jc w:val="both"/>
      <w:spacing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68" w:customStyle="1">
    <w:name w:val="ConsTitle"/>
    <w:rPr>
      <w:rFonts w:ascii="Arial" w:hAnsi="Arial" w:eastAsia="Times New Roman" w:cs="Arial"/>
      <w:b/>
      <w:bCs/>
    </w:rPr>
  </w:style>
  <w:style w:type="paragraph" w:styleId="969" w:customStyle="1">
    <w:name w:val="ConsNormal"/>
    <w:pPr>
      <w:ind w:firstLine="720"/>
    </w:pPr>
    <w:rPr>
      <w:rFonts w:ascii="Arial" w:hAnsi="Arial" w:eastAsia="Times New Roman" w:cs="Arial"/>
    </w:rPr>
  </w:style>
  <w:style w:type="paragraph" w:styleId="97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71" w:customStyle="1">
    <w:name w:val="Основной текст Знак1"/>
    <w:rPr>
      <w:rFonts w:ascii="Times New Roman" w:hAnsi="Times New Roman" w:eastAsia="Times New Roman"/>
    </w:rPr>
  </w:style>
  <w:style w:type="character" w:styleId="972" w:customStyle="1">
    <w:name w:val="Текст Знак1"/>
    <w:rPr>
      <w:rFonts w:ascii="Times New Roman" w:hAnsi="Times New Roman" w:eastAsia="Calibri" w:cs="Times New Roman"/>
      <w:sz w:val="24"/>
      <w:szCs w:val="20"/>
    </w:rPr>
  </w:style>
  <w:style w:type="paragraph" w:styleId="973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974" w:customStyle="1">
    <w:name w:val="Основной текст (3)_"/>
    <w:link w:val="975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975" w:customStyle="1">
    <w:name w:val="Основной текст (3)"/>
    <w:basedOn w:val="883"/>
    <w:link w:val="974"/>
    <w:uiPriority w:val="99"/>
    <w:pPr>
      <w:jc w:val="center"/>
      <w:spacing w:before="420" w:after="420" w:line="326" w:lineRule="exact"/>
      <w:shd w:val="clear" w:color="auto" w:fill="ffffff"/>
      <w:widowControl w:val="off"/>
    </w:pPr>
    <w:rPr>
      <w:rFonts w:eastAsia="Calibri"/>
      <w:b/>
      <w:bCs/>
      <w:sz w:val="28"/>
      <w:szCs w:val="28"/>
    </w:rPr>
  </w:style>
  <w:style w:type="paragraph" w:styleId="976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8" w:customStyle="1">
    <w:name w:val="Сетка таблицы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9" w:customStyle="1">
    <w:name w:val="Сетка таблицы6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80" w:customStyle="1">
    <w:name w:val="Сетка таблицы61"/>
    <w:basedOn w:val="726"/>
    <w:next w:val="7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9A0-EEA7-42FF-8472-CC518BE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56</cp:revision>
  <dcterms:created xsi:type="dcterms:W3CDTF">2023-06-13T11:30:00Z</dcterms:created>
  <dcterms:modified xsi:type="dcterms:W3CDTF">2024-06-18T06:15:03Z</dcterms:modified>
</cp:coreProperties>
</file>